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D3828FD" w:rsidR="00D35B38" w:rsidRPr="00D91702" w:rsidRDefault="0048569E" w:rsidP="007D7760">
      <w:pPr>
        <w:jc w:val="center"/>
        <w:rPr>
          <w:rFonts w:asciiTheme="minorEastAsia" w:hAnsiTheme="minorEastAsia"/>
          <w:b/>
          <w:bCs/>
        </w:rPr>
      </w:pPr>
      <w:r w:rsidRPr="0048569E">
        <w:rPr>
          <w:rFonts w:asciiTheme="minorEastAsia" w:hAnsiTheme="minorEastAsia"/>
          <w:b/>
          <w:bCs/>
        </w:rPr>
        <w:t>18193_匯率避險介紹-企業操作實務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20775B05" w14:textId="77777777" w:rsidR="00AE5C32" w:rsidRPr="00AE5C32" w:rsidRDefault="00AE5C32" w:rsidP="00AE5C32">
      <w:r w:rsidRPr="00AE5C32">
        <w:rPr>
          <w:rFonts w:ascii="Segoe UI Emoji" w:hAnsi="Segoe UI Emoji" w:cs="Segoe UI Emoji"/>
        </w:rPr>
        <w:t>🎯</w:t>
      </w:r>
      <w:r w:rsidRPr="00AE5C32">
        <w:t xml:space="preserve"> </w:t>
      </w:r>
      <w:r w:rsidRPr="00AE5C32">
        <w:rPr>
          <w:b/>
          <w:bCs/>
        </w:rPr>
        <w:t xml:space="preserve">1. </w:t>
      </w:r>
      <w:r w:rsidRPr="00AE5C32">
        <w:rPr>
          <w:b/>
          <w:bCs/>
        </w:rPr>
        <w:t>適合對象與能力門檻</w:t>
      </w:r>
    </w:p>
    <w:p w14:paraId="7419AD8E" w14:textId="77777777" w:rsidR="00AE5C32" w:rsidRPr="00AE5C32" w:rsidRDefault="00AE5C32" w:rsidP="00AE5C32">
      <w:pPr>
        <w:numPr>
          <w:ilvl w:val="0"/>
          <w:numId w:val="22"/>
        </w:numPr>
      </w:pPr>
      <w:r w:rsidRPr="00AE5C32">
        <w:rPr>
          <w:b/>
          <w:bCs/>
        </w:rPr>
        <w:t>適合族群</w:t>
      </w:r>
      <w:r w:rsidRPr="00AE5C32">
        <w:t>：</w:t>
      </w:r>
    </w:p>
    <w:p w14:paraId="3B362C23" w14:textId="77777777" w:rsidR="00AE5C32" w:rsidRPr="00AE5C32" w:rsidRDefault="00AE5C32" w:rsidP="00AE5C32">
      <w:pPr>
        <w:numPr>
          <w:ilvl w:val="1"/>
          <w:numId w:val="22"/>
        </w:numPr>
      </w:pPr>
      <w:r w:rsidRPr="00AE5C32">
        <w:rPr>
          <w:b/>
          <w:bCs/>
        </w:rPr>
        <w:t>初學者</w:t>
      </w:r>
      <w:r w:rsidRPr="00AE5C32">
        <w:rPr>
          <w:b/>
          <w:bCs/>
        </w:rPr>
        <w:t xml:space="preserve"> / </w:t>
      </w:r>
      <w:r w:rsidRPr="00AE5C32">
        <w:rPr>
          <w:b/>
          <w:bCs/>
        </w:rPr>
        <w:t>中小企業主</w:t>
      </w:r>
      <w:r w:rsidRPr="00AE5C32">
        <w:rPr>
          <w:b/>
          <w:bCs/>
        </w:rPr>
        <w:t xml:space="preserve"> / </w:t>
      </w:r>
      <w:r w:rsidRPr="00AE5C32">
        <w:rPr>
          <w:b/>
          <w:bCs/>
        </w:rPr>
        <w:t>財務人員</w:t>
      </w:r>
      <w:r w:rsidRPr="00AE5C32">
        <w:t>：缺乏專人操作經驗，但因全球競爭激烈、單薄利潤常被匯率波動吃掉，希望學習基礎避險工具以固定成本與利潤者。</w:t>
      </w:r>
      <w:r w:rsidRPr="00AE5C32">
        <w:t xml:space="preserve"> </w:t>
      </w:r>
    </w:p>
    <w:p w14:paraId="6D669E7E" w14:textId="77777777" w:rsidR="00AE5C32" w:rsidRPr="00AE5C32" w:rsidRDefault="00AE5C32" w:rsidP="00AE5C32">
      <w:pPr>
        <w:numPr>
          <w:ilvl w:val="1"/>
          <w:numId w:val="22"/>
        </w:numPr>
      </w:pPr>
      <w:r w:rsidRPr="00AE5C32">
        <w:rPr>
          <w:b/>
          <w:bCs/>
        </w:rPr>
        <w:t>進出口企業管理者</w:t>
      </w:r>
      <w:r w:rsidRPr="00AE5C32">
        <w:t>：有實質外幣收支（如應收</w:t>
      </w:r>
      <w:r w:rsidRPr="00AE5C32">
        <w:t>/</w:t>
      </w:r>
      <w:r w:rsidRPr="00AE5C32">
        <w:t>應付外貨款），需評估遠期外匯（遠匯）與匯率選擇權差異者。</w:t>
      </w:r>
      <w:r w:rsidRPr="00AE5C32">
        <w:t xml:space="preserve"> </w:t>
      </w:r>
    </w:p>
    <w:p w14:paraId="39120E43" w14:textId="77777777" w:rsidR="00AE5C32" w:rsidRPr="00AE5C32" w:rsidRDefault="00AE5C32" w:rsidP="00AE5C32">
      <w:pPr>
        <w:numPr>
          <w:ilvl w:val="0"/>
          <w:numId w:val="22"/>
        </w:numPr>
      </w:pPr>
      <w:r w:rsidRPr="00AE5C32">
        <w:rPr>
          <w:b/>
          <w:bCs/>
        </w:rPr>
        <w:t>能力門檻</w:t>
      </w:r>
      <w:r w:rsidRPr="00AE5C32">
        <w:t>：</w:t>
      </w:r>
      <w:r w:rsidRPr="00AE5C32">
        <w:t>[</w:t>
      </w:r>
      <w:r w:rsidRPr="00AE5C32">
        <w:t>入門</w:t>
      </w:r>
      <w:r w:rsidRPr="00AE5C32">
        <w:t>]</w:t>
      </w:r>
      <w:r w:rsidRPr="00AE5C32">
        <w:t>（課程專為中小企業設計，無須專業金融交易背景即可建立正確避險觀念並理解銀行申請流程）。</w:t>
      </w:r>
      <w:r w:rsidRPr="00AE5C32">
        <w:t xml:space="preserve"> </w:t>
      </w:r>
    </w:p>
    <w:p w14:paraId="6F0A1982" w14:textId="77777777" w:rsidR="00AE5C32" w:rsidRPr="00AE5C32" w:rsidRDefault="00AE5C32" w:rsidP="00AE5C32">
      <w:r w:rsidRPr="00AE5C32">
        <w:rPr>
          <w:rFonts w:ascii="Segoe UI Emoji" w:hAnsi="Segoe UI Emoji" w:cs="Segoe UI Emoji"/>
        </w:rPr>
        <w:t>📚</w:t>
      </w:r>
      <w:r w:rsidRPr="00AE5C32">
        <w:t xml:space="preserve"> </w:t>
      </w:r>
      <w:r w:rsidRPr="00AE5C32">
        <w:rPr>
          <w:b/>
          <w:bCs/>
        </w:rPr>
        <w:t xml:space="preserve">2. </w:t>
      </w:r>
      <w:r w:rsidRPr="00AE5C32">
        <w:rPr>
          <w:b/>
          <w:bCs/>
        </w:rPr>
        <w:t>課程核心大綱與架構圖</w:t>
      </w:r>
    </w:p>
    <w:p w14:paraId="107515D2" w14:textId="77777777" w:rsidR="00AE5C32" w:rsidRPr="00AE5C32" w:rsidRDefault="00AE5C32" w:rsidP="00AE5C32">
      <w:pPr>
        <w:numPr>
          <w:ilvl w:val="0"/>
          <w:numId w:val="23"/>
        </w:numPr>
      </w:pPr>
      <w:r w:rsidRPr="00AE5C32">
        <w:rPr>
          <w:b/>
          <w:bCs/>
        </w:rPr>
        <w:t>章節架構</w:t>
      </w:r>
      <w:r w:rsidRPr="00AE5C32">
        <w:t>：</w:t>
      </w:r>
    </w:p>
    <w:p w14:paraId="107947B5" w14:textId="77777777" w:rsidR="00AE5C32" w:rsidRPr="00AE5C32" w:rsidRDefault="00AE5C32" w:rsidP="00AE5C32">
      <w:pPr>
        <w:numPr>
          <w:ilvl w:val="1"/>
          <w:numId w:val="23"/>
        </w:numPr>
      </w:pPr>
      <w:r w:rsidRPr="00AE5C32">
        <w:rPr>
          <w:b/>
          <w:bCs/>
        </w:rPr>
        <w:t>單元一：遠期外匯（</w:t>
      </w:r>
      <w:r w:rsidRPr="00AE5C32">
        <w:rPr>
          <w:b/>
          <w:bCs/>
        </w:rPr>
        <w:t>Forward</w:t>
      </w:r>
      <w:r w:rsidRPr="00AE5C32">
        <w:rPr>
          <w:b/>
          <w:bCs/>
        </w:rPr>
        <w:t>）避險實務</w:t>
      </w:r>
      <w:r w:rsidRPr="00AE5C32">
        <w:t xml:space="preserve"> </w:t>
      </w:r>
      <w:r w:rsidRPr="00AE5C32">
        <w:t>－</w:t>
      </w:r>
      <w:r w:rsidRPr="00AE5C32">
        <w:t xml:space="preserve"> </w:t>
      </w:r>
      <w:r w:rsidRPr="00AE5C32">
        <w:t>遠匯定義、優缺點、換匯點數計算邏輯（反映兩國利差）與避險迷思拆解。</w:t>
      </w:r>
      <w:r w:rsidRPr="00AE5C32">
        <w:t xml:space="preserve"> </w:t>
      </w:r>
    </w:p>
    <w:p w14:paraId="51C2A348" w14:textId="77777777" w:rsidR="00AE5C32" w:rsidRPr="00AE5C32" w:rsidRDefault="00AE5C32" w:rsidP="00AE5C32">
      <w:pPr>
        <w:numPr>
          <w:ilvl w:val="1"/>
          <w:numId w:val="23"/>
        </w:numPr>
      </w:pPr>
      <w:r w:rsidRPr="00AE5C32">
        <w:rPr>
          <w:b/>
          <w:bCs/>
        </w:rPr>
        <w:t>單元二：遠期外匯文件審查規範</w:t>
      </w:r>
      <w:r w:rsidRPr="00AE5C32">
        <w:t xml:space="preserve"> </w:t>
      </w:r>
      <w:r w:rsidRPr="00AE5C32">
        <w:t>－</w:t>
      </w:r>
      <w:r w:rsidRPr="00AE5C32">
        <w:t xml:space="preserve"> </w:t>
      </w:r>
      <w:r w:rsidRPr="00AE5C32">
        <w:t>涉及新台幣之實質交易證明文件（單據要求、形式發票限制、交易清單抽查機制）。</w:t>
      </w:r>
      <w:r w:rsidRPr="00AE5C32">
        <w:t xml:space="preserve"> </w:t>
      </w:r>
    </w:p>
    <w:p w14:paraId="74AE8B1E" w14:textId="77777777" w:rsidR="00AE5C32" w:rsidRPr="00AE5C32" w:rsidRDefault="00AE5C32" w:rsidP="00AE5C32">
      <w:pPr>
        <w:numPr>
          <w:ilvl w:val="1"/>
          <w:numId w:val="23"/>
        </w:numPr>
      </w:pPr>
      <w:r w:rsidRPr="00AE5C32">
        <w:rPr>
          <w:b/>
          <w:bCs/>
        </w:rPr>
        <w:t>單元三：匯率選擇權（</w:t>
      </w:r>
      <w:r w:rsidRPr="00AE5C32">
        <w:rPr>
          <w:b/>
          <w:bCs/>
        </w:rPr>
        <w:t>Option</w:t>
      </w:r>
      <w:r w:rsidRPr="00AE5C32">
        <w:rPr>
          <w:b/>
          <w:bCs/>
        </w:rPr>
        <w:t>）買方避險實務</w:t>
      </w:r>
      <w:r w:rsidRPr="00AE5C32">
        <w:t xml:space="preserve"> </w:t>
      </w:r>
      <w:r w:rsidRPr="00AE5C32">
        <w:t>－</w:t>
      </w:r>
      <w:r w:rsidRPr="00AE5C32">
        <w:t xml:space="preserve"> </w:t>
      </w:r>
      <w:r w:rsidRPr="00AE5C32">
        <w:t>選擇權概念（匯率保險）、買權</w:t>
      </w:r>
      <w:r w:rsidRPr="00AE5C32">
        <w:t>/</w:t>
      </w:r>
      <w:r w:rsidRPr="00AE5C32">
        <w:t>賣權組合、買入選擇權優缺點與最大風險（損失權利金）說明。</w:t>
      </w:r>
      <w:r w:rsidRPr="00AE5C32">
        <w:t xml:space="preserve"> </w:t>
      </w:r>
    </w:p>
    <w:p w14:paraId="37AB004C" w14:textId="77777777" w:rsidR="00AE5C32" w:rsidRPr="00AE5C32" w:rsidRDefault="00AE5C32" w:rsidP="00AE5C32">
      <w:pPr>
        <w:numPr>
          <w:ilvl w:val="1"/>
          <w:numId w:val="23"/>
        </w:numPr>
      </w:pPr>
      <w:r w:rsidRPr="00AE5C32">
        <w:rPr>
          <w:b/>
          <w:bCs/>
        </w:rPr>
        <w:t>單元四：遠匯與買入選擇權綜合作業比較</w:t>
      </w:r>
      <w:r w:rsidRPr="00AE5C32">
        <w:t xml:space="preserve"> </w:t>
      </w:r>
      <w:r w:rsidRPr="00AE5C32">
        <w:t>－</w:t>
      </w:r>
      <w:r w:rsidRPr="00AE5C32">
        <w:t xml:space="preserve"> </w:t>
      </w:r>
      <w:r w:rsidRPr="00AE5C32">
        <w:t>比較兩者在特性、彈性、限制、實質文件要求及銀行額度需求之差異。</w:t>
      </w:r>
      <w:r w:rsidRPr="00AE5C32">
        <w:t xml:space="preserve"> </w:t>
      </w:r>
    </w:p>
    <w:p w14:paraId="7ECA6721" w14:textId="77777777" w:rsidR="00AE5C32" w:rsidRPr="00AE5C32" w:rsidRDefault="00AE5C32" w:rsidP="00AE5C32">
      <w:pPr>
        <w:numPr>
          <w:ilvl w:val="1"/>
          <w:numId w:val="23"/>
        </w:numPr>
      </w:pPr>
      <w:r w:rsidRPr="00AE5C32">
        <w:rPr>
          <w:b/>
          <w:bCs/>
        </w:rPr>
        <w:t>單元五：銀行避險額度與商品申請流程</w:t>
      </w:r>
      <w:r w:rsidRPr="00AE5C32">
        <w:t xml:space="preserve"> </w:t>
      </w:r>
      <w:r w:rsidRPr="00AE5C32">
        <w:t>－</w:t>
      </w:r>
      <w:r w:rsidRPr="00AE5C32">
        <w:t xml:space="preserve"> </w:t>
      </w:r>
      <w:r w:rsidRPr="00AE5C32">
        <w:t>從風險評估、</w:t>
      </w:r>
      <w:r w:rsidRPr="00AE5C32">
        <w:t>KYC</w:t>
      </w:r>
      <w:r w:rsidRPr="00AE5C32">
        <w:t>問券、額度申請、簽約開戶到保證金與交易交割之</w:t>
      </w:r>
      <w:r w:rsidRPr="00AE5C32">
        <w:t xml:space="preserve"> 6 </w:t>
      </w:r>
      <w:r w:rsidRPr="00AE5C32">
        <w:t>大步驟。</w:t>
      </w:r>
      <w:r w:rsidRPr="00AE5C32">
        <w:t xml:space="preserve"> </w:t>
      </w:r>
    </w:p>
    <w:p w14:paraId="6D97DCB0" w14:textId="77777777" w:rsidR="00AE5C32" w:rsidRPr="00AE5C32" w:rsidRDefault="00AE5C32" w:rsidP="00AE5C32">
      <w:r w:rsidRPr="00AE5C32">
        <w:rPr>
          <w:rFonts w:ascii="Segoe UI Emoji" w:hAnsi="Segoe UI Emoji" w:cs="Segoe UI Emoji"/>
        </w:rPr>
        <w:t>🛠️</w:t>
      </w:r>
      <w:r w:rsidRPr="00AE5C32">
        <w:t xml:space="preserve"> </w:t>
      </w:r>
      <w:r w:rsidRPr="00AE5C32">
        <w:rPr>
          <w:b/>
          <w:bCs/>
        </w:rPr>
        <w:t xml:space="preserve">3. </w:t>
      </w:r>
      <w:r w:rsidRPr="00AE5C32">
        <w:rPr>
          <w:b/>
          <w:bCs/>
        </w:rPr>
        <w:t>必備前置知識清單</w:t>
      </w:r>
    </w:p>
    <w:p w14:paraId="1B4295B1" w14:textId="77777777" w:rsidR="00AE5C32" w:rsidRPr="00AE5C32" w:rsidRDefault="00AE5C32" w:rsidP="00AE5C32">
      <w:pPr>
        <w:numPr>
          <w:ilvl w:val="0"/>
          <w:numId w:val="24"/>
        </w:numPr>
      </w:pPr>
      <w:r w:rsidRPr="00AE5C32">
        <w:rPr>
          <w:b/>
          <w:bCs/>
        </w:rPr>
        <w:t>基礎外匯與企業收付款概念</w:t>
      </w:r>
      <w:r w:rsidRPr="00AE5C32">
        <w:t>：建議了解即期匯率（</w:t>
      </w:r>
      <w:r w:rsidRPr="00AE5C32">
        <w:t>Spot Rate</w:t>
      </w:r>
      <w:r w:rsidRPr="00AE5C32">
        <w:t>）、進口付匯與出口收匯的基本商業運作（無需預先掌握複雜金融工程）。</w:t>
      </w:r>
      <w:r w:rsidRPr="00AE5C32">
        <w:t xml:space="preserve"> </w:t>
      </w:r>
    </w:p>
    <w:p w14:paraId="0698456A" w14:textId="77777777" w:rsidR="00AE5C32" w:rsidRPr="00AE5C32" w:rsidRDefault="00AE5C32" w:rsidP="00AE5C32">
      <w:r w:rsidRPr="00AE5C32">
        <w:rPr>
          <w:rFonts w:ascii="Segoe UI Emoji" w:hAnsi="Segoe UI Emoji" w:cs="Segoe UI Emoji"/>
        </w:rPr>
        <w:lastRenderedPageBreak/>
        <w:t>📖</w:t>
      </w:r>
      <w:r w:rsidRPr="00AE5C32">
        <w:t xml:space="preserve"> </w:t>
      </w:r>
      <w:r w:rsidRPr="00AE5C32">
        <w:rPr>
          <w:b/>
          <w:bCs/>
        </w:rPr>
        <w:t xml:space="preserve">4. </w:t>
      </w:r>
      <w:r w:rsidRPr="00AE5C32">
        <w:rPr>
          <w:b/>
          <w:bCs/>
        </w:rPr>
        <w:t>專有名詞與概念辭典</w:t>
      </w:r>
    </w:p>
    <w:p w14:paraId="47909371" w14:textId="77777777" w:rsidR="00AE5C32" w:rsidRPr="00AE5C32" w:rsidRDefault="00AE5C32" w:rsidP="00AE5C32">
      <w:pPr>
        <w:numPr>
          <w:ilvl w:val="0"/>
          <w:numId w:val="25"/>
        </w:numPr>
      </w:pPr>
      <w:r w:rsidRPr="00AE5C32">
        <w:rPr>
          <w:b/>
          <w:bCs/>
        </w:rPr>
        <w:t>遠期外匯（</w:t>
      </w:r>
      <w:r w:rsidRPr="00AE5C32">
        <w:rPr>
          <w:b/>
          <w:bCs/>
        </w:rPr>
        <w:t>Forward</w:t>
      </w:r>
      <w:r w:rsidRPr="00AE5C32">
        <w:rPr>
          <w:b/>
          <w:bCs/>
        </w:rPr>
        <w:t>）</w:t>
      </w:r>
      <w:r w:rsidRPr="00AE5C32">
        <w:t>：交易雙方於現在約定未來某一特定日期或期間，依照議定的金額、幣別、匯率完成外匯交割，用以固定匯率成本。</w:t>
      </w:r>
      <w:r w:rsidRPr="00AE5C32">
        <w:t xml:space="preserve"> </w:t>
      </w:r>
    </w:p>
    <w:p w14:paraId="7A0E9742" w14:textId="77777777" w:rsidR="00AE5C32" w:rsidRPr="00AE5C32" w:rsidRDefault="00AE5C32" w:rsidP="00AE5C32">
      <w:pPr>
        <w:numPr>
          <w:ilvl w:val="0"/>
          <w:numId w:val="25"/>
        </w:numPr>
      </w:pPr>
      <w:r w:rsidRPr="00AE5C32">
        <w:rPr>
          <w:b/>
          <w:bCs/>
        </w:rPr>
        <w:t>換匯點數（</w:t>
      </w:r>
      <w:r w:rsidRPr="00AE5C32">
        <w:rPr>
          <w:b/>
          <w:bCs/>
        </w:rPr>
        <w:t>Swap Point</w:t>
      </w:r>
      <w:r w:rsidRPr="00AE5C32">
        <w:rPr>
          <w:b/>
          <w:bCs/>
        </w:rPr>
        <w:t>）</w:t>
      </w:r>
      <w:r w:rsidRPr="00AE5C32">
        <w:t>：遠匯匯率與即期匯率的差額（遠匯匯率</w:t>
      </w:r>
      <w:r w:rsidRPr="00AE5C32">
        <w:t xml:space="preserve"> = </w:t>
      </w:r>
      <w:r w:rsidRPr="00AE5C32">
        <w:t>即期匯率</w:t>
      </w:r>
      <w:r w:rsidRPr="00AE5C32">
        <w:t xml:space="preserve"> + </w:t>
      </w:r>
      <w:r w:rsidRPr="00AE5C32">
        <w:t>換匯點數），主要反映兩國貨幣的利差，而非銀行對未來匯率走勢的預測。</w:t>
      </w:r>
      <w:r w:rsidRPr="00AE5C32">
        <w:t xml:space="preserve"> </w:t>
      </w:r>
    </w:p>
    <w:p w14:paraId="18EA7EF7" w14:textId="77777777" w:rsidR="00AE5C32" w:rsidRPr="00AE5C32" w:rsidRDefault="00AE5C32" w:rsidP="00AE5C32">
      <w:pPr>
        <w:numPr>
          <w:ilvl w:val="0"/>
          <w:numId w:val="25"/>
        </w:numPr>
      </w:pPr>
      <w:r w:rsidRPr="00AE5C32">
        <w:rPr>
          <w:b/>
          <w:bCs/>
        </w:rPr>
        <w:t>買入選擇權（</w:t>
      </w:r>
      <w:r w:rsidRPr="00AE5C32">
        <w:rPr>
          <w:b/>
          <w:bCs/>
        </w:rPr>
        <w:t>Buy Option</w:t>
      </w:r>
      <w:r w:rsidRPr="00AE5C32">
        <w:rPr>
          <w:b/>
          <w:bCs/>
        </w:rPr>
        <w:t>）</w:t>
      </w:r>
      <w:r w:rsidRPr="00AE5C32">
        <w:t>：企業支付一筆權利金（保險費）取得權利，到期時可視市場匯率決定是否履約；優點為能「保底」並「保留多賺的空間」，且涉及新台幣時免提供實質交易文件與銀行額度。</w:t>
      </w:r>
      <w:r w:rsidRPr="00AE5C32">
        <w:t xml:space="preserve"> </w:t>
      </w:r>
    </w:p>
    <w:p w14:paraId="104B7697" w14:textId="77777777" w:rsidR="00AE5C32" w:rsidRPr="00AE5C32" w:rsidRDefault="00AE5C32" w:rsidP="00AE5C32">
      <w:pPr>
        <w:numPr>
          <w:ilvl w:val="0"/>
          <w:numId w:val="25"/>
        </w:numPr>
      </w:pPr>
      <w:r w:rsidRPr="00AE5C32">
        <w:rPr>
          <w:b/>
          <w:bCs/>
        </w:rPr>
        <w:t>形式發票（</w:t>
      </w:r>
      <w:r w:rsidRPr="00AE5C32">
        <w:rPr>
          <w:b/>
          <w:bCs/>
        </w:rPr>
        <w:t>Proforma Invoice</w:t>
      </w:r>
      <w:r w:rsidRPr="00AE5C32">
        <w:rPr>
          <w:b/>
          <w:bCs/>
        </w:rPr>
        <w:t>）</w:t>
      </w:r>
      <w:r w:rsidRPr="00AE5C32">
        <w:t>：商業上常用的預估單據，因不屬於正式發票且無法確認交易是否完成，</w:t>
      </w:r>
      <w:r w:rsidRPr="00AE5C32">
        <w:rPr>
          <w:b/>
          <w:bCs/>
        </w:rPr>
        <w:t>不能單獨作為</w:t>
      </w:r>
      <w:r w:rsidRPr="00AE5C32">
        <w:t>遠匯之實質交易證明文件。</w:t>
      </w:r>
      <w:r w:rsidRPr="00AE5C32">
        <w:t xml:space="preserve"> </w:t>
      </w:r>
    </w:p>
    <w:p w14:paraId="424BA6F6" w14:textId="77777777" w:rsidR="00AE5C32" w:rsidRPr="00AE5C32" w:rsidRDefault="00AE5C32" w:rsidP="00AE5C32">
      <w:r w:rsidRPr="00AE5C32">
        <w:rPr>
          <w:rFonts w:ascii="Segoe UI Emoji" w:hAnsi="Segoe UI Emoji" w:cs="Segoe UI Emoji"/>
        </w:rPr>
        <w:t>💼</w:t>
      </w:r>
      <w:r w:rsidRPr="00AE5C32">
        <w:t xml:space="preserve"> </w:t>
      </w:r>
      <w:r w:rsidRPr="00AE5C32">
        <w:rPr>
          <w:b/>
          <w:bCs/>
        </w:rPr>
        <w:t xml:space="preserve">5. </w:t>
      </w:r>
      <w:r w:rsidRPr="00AE5C32">
        <w:rPr>
          <w:b/>
          <w:bCs/>
        </w:rPr>
        <w:t>課程學習職能對照</w:t>
      </w:r>
      <w:r w:rsidRPr="00AE5C32">
        <w:t>（對標經濟部產業職能基準</w:t>
      </w:r>
      <w:r w:rsidRPr="00AE5C32">
        <w:t>/</w:t>
      </w:r>
      <w:proofErr w:type="spellStart"/>
      <w:r w:rsidRPr="00AE5C32">
        <w:t>iPAS</w:t>
      </w:r>
      <w:proofErr w:type="spellEnd"/>
      <w:r w:rsidRPr="00AE5C32">
        <w:t>）</w:t>
      </w:r>
    </w:p>
    <w:p w14:paraId="206F3AD7" w14:textId="77777777" w:rsidR="00AE5C32" w:rsidRPr="00AE5C32" w:rsidRDefault="00AE5C32" w:rsidP="00AE5C32">
      <w:pPr>
        <w:numPr>
          <w:ilvl w:val="0"/>
          <w:numId w:val="26"/>
        </w:numPr>
      </w:pPr>
      <w:r w:rsidRPr="00AE5C32">
        <w:rPr>
          <w:b/>
          <w:bCs/>
        </w:rPr>
        <w:t>對應職能名稱</w:t>
      </w:r>
      <w:r w:rsidRPr="00AE5C32">
        <w:t>：企業財務專員</w:t>
      </w:r>
      <w:r w:rsidRPr="00AE5C32">
        <w:t xml:space="preserve"> / </w:t>
      </w:r>
      <w:r w:rsidRPr="00AE5C32">
        <w:t>資金調度主管、法人金融客戶經理（</w:t>
      </w:r>
      <w:r w:rsidRPr="00AE5C32">
        <w:t>ARM/RM</w:t>
      </w:r>
      <w:r w:rsidRPr="00AE5C32">
        <w:t>）。</w:t>
      </w:r>
      <w:r w:rsidRPr="00AE5C32">
        <w:t xml:space="preserve"> </w:t>
      </w:r>
    </w:p>
    <w:p w14:paraId="015784FA" w14:textId="77777777" w:rsidR="00AE5C32" w:rsidRPr="00AE5C32" w:rsidRDefault="00AE5C32" w:rsidP="00AE5C32">
      <w:pPr>
        <w:numPr>
          <w:ilvl w:val="0"/>
          <w:numId w:val="26"/>
        </w:numPr>
      </w:pPr>
      <w:r w:rsidRPr="00AE5C32">
        <w:rPr>
          <w:b/>
          <w:bCs/>
        </w:rPr>
        <w:t>主要工作任務</w:t>
      </w:r>
      <w:r w:rsidRPr="00AE5C32">
        <w:rPr>
          <w:b/>
          <w:bCs/>
        </w:rPr>
        <w:t>/</w:t>
      </w:r>
      <w:r w:rsidRPr="00AE5C32">
        <w:rPr>
          <w:b/>
          <w:bCs/>
        </w:rPr>
        <w:t>能力指標</w:t>
      </w:r>
      <w:r w:rsidRPr="00AE5C32">
        <w:t>：</w:t>
      </w:r>
    </w:p>
    <w:p w14:paraId="13B566ED" w14:textId="77777777" w:rsidR="00AE5C32" w:rsidRPr="00AE5C32" w:rsidRDefault="00AE5C32" w:rsidP="00AE5C32">
      <w:pPr>
        <w:numPr>
          <w:ilvl w:val="1"/>
          <w:numId w:val="26"/>
        </w:numPr>
      </w:pPr>
      <w:r w:rsidRPr="00AE5C32">
        <w:rPr>
          <w:b/>
          <w:bCs/>
        </w:rPr>
        <w:t>[</w:t>
      </w:r>
      <w:r w:rsidRPr="00AE5C32">
        <w:rPr>
          <w:b/>
          <w:bCs/>
        </w:rPr>
        <w:t>分析與決策能力</w:t>
      </w:r>
      <w:r w:rsidRPr="00AE5C32">
        <w:rPr>
          <w:b/>
          <w:bCs/>
        </w:rPr>
        <w:t>]</w:t>
      </w:r>
      <w:r w:rsidRPr="00AE5C32">
        <w:t>：能評估企業風險承擔能力，精準比較「遠匯（固定匯率）」與「買入選擇權（權利金保險）」之避險成本與效益。</w:t>
      </w:r>
      <w:r w:rsidRPr="00AE5C32">
        <w:t xml:space="preserve"> </w:t>
      </w:r>
    </w:p>
    <w:p w14:paraId="234B3CFC" w14:textId="77777777" w:rsidR="00AE5C32" w:rsidRPr="00AE5C32" w:rsidRDefault="00AE5C32" w:rsidP="00AE5C32">
      <w:pPr>
        <w:numPr>
          <w:ilvl w:val="1"/>
          <w:numId w:val="26"/>
        </w:numPr>
      </w:pPr>
      <w:r w:rsidRPr="00AE5C32">
        <w:rPr>
          <w:b/>
          <w:bCs/>
        </w:rPr>
        <w:t>[</w:t>
      </w:r>
      <w:r w:rsidRPr="00AE5C32">
        <w:rPr>
          <w:b/>
          <w:bCs/>
        </w:rPr>
        <w:t>工具操作與執行能力</w:t>
      </w:r>
      <w:r w:rsidRPr="00AE5C32">
        <w:rPr>
          <w:b/>
          <w:bCs/>
        </w:rPr>
        <w:t>]</w:t>
      </w:r>
      <w:r w:rsidRPr="00AE5C32">
        <w:t>：能備齊實質交易文件（或交易清單）、配合銀行機動抽查，並依</w:t>
      </w:r>
      <w:r w:rsidRPr="00AE5C32">
        <w:t xml:space="preserve"> 6 </w:t>
      </w:r>
      <w:r w:rsidRPr="00AE5C32">
        <w:t>大步驟完成銀行衍生性商品額度申請與開戶。</w:t>
      </w:r>
      <w:r w:rsidRPr="00AE5C32">
        <w:t xml:space="preserve"> </w:t>
      </w:r>
    </w:p>
    <w:p w14:paraId="1E64C96F" w14:textId="77777777" w:rsidR="00AE5C32" w:rsidRPr="00AE5C32" w:rsidRDefault="00AE5C32" w:rsidP="00AE5C32">
      <w:pPr>
        <w:rPr>
          <w:rFonts w:hint="eastAsia"/>
        </w:rPr>
      </w:pPr>
    </w:p>
    <w:sectPr w:rsidR="00AE5C32" w:rsidRPr="00AE5C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0F5D" w14:textId="77777777" w:rsidR="00DE3100" w:rsidRDefault="00DE3100" w:rsidP="002E49EF">
      <w:pPr>
        <w:spacing w:after="0" w:line="240" w:lineRule="auto"/>
      </w:pPr>
      <w:r>
        <w:separator/>
      </w:r>
    </w:p>
  </w:endnote>
  <w:endnote w:type="continuationSeparator" w:id="0">
    <w:p w14:paraId="5F97D6E8" w14:textId="77777777" w:rsidR="00DE3100" w:rsidRDefault="00DE3100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33FE" w14:textId="77777777" w:rsidR="00DE3100" w:rsidRDefault="00DE3100" w:rsidP="002E49EF">
      <w:pPr>
        <w:spacing w:after="0" w:line="240" w:lineRule="auto"/>
      </w:pPr>
      <w:r>
        <w:separator/>
      </w:r>
    </w:p>
  </w:footnote>
  <w:footnote w:type="continuationSeparator" w:id="0">
    <w:p w14:paraId="31ECE648" w14:textId="77777777" w:rsidR="00DE3100" w:rsidRDefault="00DE3100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72FD4"/>
    <w:multiLevelType w:val="multilevel"/>
    <w:tmpl w:val="207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C519A6"/>
    <w:multiLevelType w:val="multilevel"/>
    <w:tmpl w:val="5DF0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B0AF4"/>
    <w:multiLevelType w:val="multilevel"/>
    <w:tmpl w:val="E1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07F5D"/>
    <w:multiLevelType w:val="multilevel"/>
    <w:tmpl w:val="CE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127951"/>
    <w:multiLevelType w:val="multilevel"/>
    <w:tmpl w:val="C58C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21"/>
  </w:num>
  <w:num w:numId="2" w16cid:durableId="1281761632">
    <w:abstractNumId w:val="25"/>
  </w:num>
  <w:num w:numId="3" w16cid:durableId="898513317">
    <w:abstractNumId w:val="4"/>
  </w:num>
  <w:num w:numId="4" w16cid:durableId="1103695872">
    <w:abstractNumId w:val="8"/>
  </w:num>
  <w:num w:numId="5" w16cid:durableId="1480147555">
    <w:abstractNumId w:val="23"/>
  </w:num>
  <w:num w:numId="6" w16cid:durableId="326370540">
    <w:abstractNumId w:val="1"/>
  </w:num>
  <w:num w:numId="7" w16cid:durableId="1640528298">
    <w:abstractNumId w:val="2"/>
  </w:num>
  <w:num w:numId="8" w16cid:durableId="56242264">
    <w:abstractNumId w:val="15"/>
  </w:num>
  <w:num w:numId="9" w16cid:durableId="49888048">
    <w:abstractNumId w:val="18"/>
  </w:num>
  <w:num w:numId="10" w16cid:durableId="1030958530">
    <w:abstractNumId w:val="20"/>
  </w:num>
  <w:num w:numId="11" w16cid:durableId="1960336245">
    <w:abstractNumId w:val="14"/>
  </w:num>
  <w:num w:numId="12" w16cid:durableId="1469471247">
    <w:abstractNumId w:val="19"/>
  </w:num>
  <w:num w:numId="13" w16cid:durableId="1436636234">
    <w:abstractNumId w:val="13"/>
  </w:num>
  <w:num w:numId="14" w16cid:durableId="381099053">
    <w:abstractNumId w:val="16"/>
  </w:num>
  <w:num w:numId="15" w16cid:durableId="207646413">
    <w:abstractNumId w:val="12"/>
  </w:num>
  <w:num w:numId="16" w16cid:durableId="1852059459">
    <w:abstractNumId w:val="0"/>
  </w:num>
  <w:num w:numId="17" w16cid:durableId="1636259370">
    <w:abstractNumId w:val="9"/>
  </w:num>
  <w:num w:numId="18" w16cid:durableId="1589535413">
    <w:abstractNumId w:val="17"/>
  </w:num>
  <w:num w:numId="19" w16cid:durableId="427192278">
    <w:abstractNumId w:val="24"/>
  </w:num>
  <w:num w:numId="20" w16cid:durableId="837840470">
    <w:abstractNumId w:val="11"/>
  </w:num>
  <w:num w:numId="21" w16cid:durableId="1796485581">
    <w:abstractNumId w:val="10"/>
  </w:num>
  <w:num w:numId="22" w16cid:durableId="1451826504">
    <w:abstractNumId w:val="7"/>
  </w:num>
  <w:num w:numId="23" w16cid:durableId="744453398">
    <w:abstractNumId w:val="6"/>
  </w:num>
  <w:num w:numId="24" w16cid:durableId="2145388943">
    <w:abstractNumId w:val="3"/>
  </w:num>
  <w:num w:numId="25" w16cid:durableId="102504396">
    <w:abstractNumId w:val="22"/>
  </w:num>
  <w:num w:numId="26" w16cid:durableId="5015300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872FF"/>
    <w:rsid w:val="000A3FBC"/>
    <w:rsid w:val="000B02E9"/>
    <w:rsid w:val="000B3BFB"/>
    <w:rsid w:val="000F0F5B"/>
    <w:rsid w:val="00126ADD"/>
    <w:rsid w:val="00163B0A"/>
    <w:rsid w:val="00185DA8"/>
    <w:rsid w:val="001C3601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01BE2"/>
    <w:rsid w:val="003663FC"/>
    <w:rsid w:val="003E31B6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323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42</cp:revision>
  <dcterms:created xsi:type="dcterms:W3CDTF">2026-08-14T00:58:00Z</dcterms:created>
  <dcterms:modified xsi:type="dcterms:W3CDTF">2026-08-14T06:01:00Z</dcterms:modified>
</cp:coreProperties>
</file>